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6839"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p>
      <w:r>
        <w:br w:type="page"/>
      </w:r>
    </w:p>
    <w:p>
      <w:pPr>
        <w:pStyle w:val="Document Name"/>
        <w:outlineLvl w:val="1"/>
        <w:rPr/>
      </w:pPr>
      <w:r>
        <w:rPr/>
        <w:t xml:space="preserve">Free privacy policy: drafting notes</w:t>
      </w:r>
    </w:p>
    <w:p>
      <w:pPr>
        <w:pStyle w:val="unindentedunitbody"/>
        <w:rPr/>
      </w:pPr>
      <w:r>
        <w:rPr/>
        <w:t xml:space="preserve">This is a website privacy policy template. It may be used in relation to many different types of website.</w:t>
      </w:r>
    </w:p>
    <w:p>
      <w:pPr>
        <w:pStyle w:val="unindentedunitbody"/>
        <w:rPr/>
      </w:pPr>
      <w:r>
        <w:rPr/>
        <w:t xml:space="preserve">The main purpose of a privacy policy is to help a website operator to comply with information disclosure obligations under data protection legislation. Across the EU, that means compliance with the General Data Protection Regulation (GDPR). Within the UK, the Data Protection Act 2018 applies. Failure to comply with data protection legislation may lead to civil liability and/or criminal law penalties.</w:t>
      </w:r>
    </w:p>
    <w:p>
      <w:pPr>
        <w:pStyle w:val="unindentedunitbody"/>
        <w:rPr/>
      </w:pPr>
      <w:r>
        <w:rPr/>
        <w:t xml:space="preserve">This privacy policy is a shorter version of our privacy and cookies policy document. That document is more flexible than this policy, although at the cost of greater complexity.</w:t>
      </w:r>
    </w:p>
    <w:p>
      <w:pPr>
        <w:pStyle w:val="unindentedunitbody"/>
        <w:rPr/>
      </w:pPr>
      <w:r>
        <w:rPr/>
        <w:t xml:space="preserve">To complete this template, you will need detailed information about how you or your organisation uses personal data. For example, you will need to know what personal data is processed, the purposes for which that personal data is used, the persons or categories of persons to whom that personal data may be disclosed and the periods for which that personal data will be retained. You will also need to establish the legal bases of the your processing. </w:t>
      </w:r>
    </w:p>
    <w:p>
      <w:pPr>
        <w:pStyle w:val="unindentedunitbody"/>
        <w:rPr/>
      </w:pPr>
      <w:r>
        <w:rPr/>
        <w:t xml:space="preserve">Separate rules regulate the provision of information about cookies, and this document includes optional provisions dealing with cookie-related disclosures. If you retain these provisions, you will need to know the purposes for which cookies and similar technologies are used on your website.</w:t>
      </w:r>
    </w:p>
    <w:p>
      <w:pPr>
        <w:pStyle w:val="unindentedunitbody"/>
        <w:rPr/>
      </w:pPr>
      <w:r>
        <w:rPr/>
        <w:t xml:space="preserve">You should consider whether you need to take specialist legal advice on data protection.</w:t>
      </w:r>
    </w:p>
    <w:p>
      <w:pPr>
        <w:pStyle w:val="unindentedunitbody"/>
        <w:rPr/>
      </w:pPr>
      <w:r>
        <w:rPr/>
        <w:t xml:space="preserve">If you collect sensitive personal information (such as information about a person's health, sexuality or political affiliations), or if you collect personal information from children or about children, you should always take advice before using this (or indeed any other) privacy policy template. In any case, use of a privacy policy is only one aspect of data protection compliance.</w:t>
      </w:r>
    </w:p>
    <w:p>
      <w:pPr>
        <w:pStyle w:val="ListParagraphPHPDOCX"/>
        <w:numPr>
          <w:ilvl w:val="0"/>
          <w:numId w:val="1"/>
        </w:numPr>
      </w:pPr>
      <w:r>
        <w:rPr>
          <w:rFonts w:ascii="Verdana" w:hAnsi="Verdana" w:cs="Verdana"/>
          <w:i w:val="on"/>
          <w:iCs w:val="on"/>
          <w:color w:val="000000"/>
          <w:sz w:val="20"/>
          <w:szCs w:val="20"/>
        </w:rPr>
        <w:t xml:space="preserve">Regulation (EU) 2016/679 (General Data Protection Regulation) - https://eur-lex.europa.eu/legal-content/EN/TXT/?uri=CELEX%3A32016R0679</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The right to be informed, Guide to the GDPR, UK Information Commissioner's Office - https://ico.org.uk/for-organisations/guide-to-data-protection/guide-to-the-general-data-protection-regulation-gdpr/the-right-to-be-informed/</w:t>
      </w:r>
    </w:p>
    <w:p>
      <w:pPr>
        <w:pStyle w:val="sectionhead"/>
        <w:outlineLvl w:val="3"/>
        <w:rPr/>
      </w:pPr>
      <w:r>
        <w:rPr/>
        <w:t xml:space="preserve">Section 1: Introduction</w:t>
      </w:r>
    </w:p>
    <w:p>
      <w:pPr>
        <w:pStyle w:val="unindentedunitbody"/>
        <w:rPr/>
      </w:pPr>
      <w:r>
        <w:rPr/>
        <w:t xml:space="preserve">These introductory provisions may be used to draw individuals' attention to some of the key issues addressed in the document.</w:t>
      </w:r>
    </w:p>
    <w:p>
      <w:pPr>
        <w:pStyle w:val="unithead"/>
        <w:outlineLvl w:val="4"/>
        <w:rPr/>
      </w:pPr>
      <w:r>
        <w:rPr/>
        <w:t xml:space="preserve">Section 1.1</w:t>
      </w:r>
    </w:p>
    <w:p>
      <w:pPr>
        <w:pStyle w:val="unindentedunitbody"/>
        <w:rPr/>
      </w:pPr>
      <w:r>
        <w:rPr/>
        <w:t xml:space="preserve">Optional element.</w:t>
      </w:r>
    </w:p>
    <w:p>
      <w:pPr>
        <w:pStyle w:val="unithead"/>
        <w:outlineLvl w:val="4"/>
        <w:rPr/>
      </w:pPr>
      <w:r>
        <w:rPr/>
        <w:t xml:space="preserve">Section 1.2</w:t>
      </w:r>
    </w:p>
    <w:p>
      <w:pPr>
        <w:pStyle w:val="unindentedunitbody"/>
        <w:rPr/>
      </w:pPr>
      <w:r>
        <w:rPr/>
        <w:t xml:space="preserve">"Personal data" is defined in Article 4(1) of the GDPR:</w:t>
      </w:r>
    </w:p>
    <w:p>
      <w:pPr>
        <w:pStyle w:val="unindentedunitbody"/>
        <w:rPr/>
      </w:pPr>
      <w:r>
        <w:rPr/>
        <w:t xml:space="preserve">"'personal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pPr>
        <w:pStyle w:val="unithead"/>
        <w:outlineLvl w:val="4"/>
        <w:rPr/>
      </w:pPr>
      <w:r>
        <w:rPr/>
        <w:t xml:space="preserve">Section 1.3</w:t>
      </w:r>
    </w:p>
    <w:p>
      <w:pPr>
        <w:pStyle w:val="unindentedunitbody"/>
        <w:rPr/>
      </w:pPr>
      <w:r>
        <w:rPr/>
        <w:t xml:space="preserve">Optional element.</w:t>
      </w:r>
    </w:p>
    <w:p>
      <w:pPr>
        <w:pStyle w:val="unindentedunitbody"/>
        <w:rPr/>
      </w:pPr>
      <w:r>
        <w:rPr/>
        <w:t xml:space="preserve">The inclusion of this statement in your privacy policy will not in itself satisfy the requirements of the Privacy and Electronic Communications (EC Directive) Regulations 2003 as regards consent to the use of cookies. Guidance concerning methods of obtaining such consent is included on the Information Commissioner's website.</w:t>
      </w:r>
    </w:p>
    <w:p>
      <w:pPr>
        <w:pStyle w:val="ListParagraphPHPDOCX"/>
        <w:numPr>
          <w:ilvl w:val="0"/>
          <w:numId w:val="1"/>
        </w:numPr>
      </w:pPr>
      <w:r>
        <w:rPr>
          <w:rFonts w:ascii="Verdana" w:hAnsi="Verdana" w:cs="Verdana"/>
          <w:i w:val="on"/>
          <w:iCs w:val="on"/>
          <w:color w:val="000000"/>
          <w:sz w:val="20"/>
          <w:szCs w:val="20"/>
        </w:rPr>
        <w:t xml:space="preserve">Cookies and similar technologies, Guide to PECR, UK Information Commissioner's Office - https://ico.org.uk/for-organisations/guide-to-pecr/cookies-and-similar-technologies/</w:t>
      </w:r>
    </w:p>
    <w:p>
      <w:pPr>
        <w:pStyle w:val="unithead"/>
        <w:outlineLvl w:val="4"/>
        <w:rPr/>
      </w:pPr>
      <w:r>
        <w:rPr/>
        <w:t xml:space="preserve">Section 1.4</w:t>
      </w:r>
    </w:p>
    <w:p>
      <w:pPr>
        <w:pStyle w:val="unindentedunitbody"/>
        <w:rPr/>
      </w:pPr>
      <w:r>
        <w:rPr/>
        <w:t xml:space="preserve">Optional element.</w:t>
      </w:r>
    </w:p>
    <w:p>
      <w:pPr>
        <w:pStyle w:val="unithead"/>
        <w:outlineLvl w:val="4"/>
        <w:rPr/>
      </w:pPr>
      <w:r>
        <w:rPr/>
        <w:t xml:space="preserve">Section 1.5</w:t>
      </w:r>
    </w:p>
    <w:p>
      <w:pPr>
        <w:pStyle w:val="unindentedunitbody"/>
        <w:rPr/>
      </w:pPr>
      <w:r>
        <w:rPr/>
        <w:t xml:space="preserve">Optional element.</w:t>
      </w:r>
    </w:p>
    <w:p>
      <w:pPr>
        <w:pStyle w:val="sectionhead"/>
        <w:outlineLvl w:val="3"/>
        <w:rPr/>
      </w:pPr>
      <w:r>
        <w:rPr/>
        <w:t xml:space="preserve">Section 2: Credit</w:t>
      </w:r>
    </w:p>
    <w:p>
      <w:pPr>
        <w:pStyle w:val="unithead"/>
        <w:outlineLvl w:val="4"/>
        <w:rPr/>
      </w:pPr>
      <w:r>
        <w:rPr/>
        <w:t xml:space="preserve">Section: Free documents licensing warning</w:t>
      </w:r>
    </w:p>
    <w:p>
      <w:pPr>
        <w:pStyle w:val="unindentedunitbody"/>
        <w:rPr/>
      </w:pPr>
      <w:r>
        <w:rPr/>
        <w:t xml:space="preserve">Optional element. Although you need to retain the credit, you should remove the inline copyright warning from this document before use.</w:t>
      </w:r>
    </w:p>
    <w:p>
      <w:pPr>
        <w:pStyle w:val="sectionhead"/>
        <w:outlineLvl w:val="3"/>
        <w:rPr/>
      </w:pPr>
      <w:r>
        <w:rPr/>
        <w:t xml:space="preserve">Section 3: How we use your personal data</w:t>
      </w:r>
    </w:p>
    <w:p>
      <w:pPr>
        <w:pStyle w:val="unindentedunitbody"/>
        <w:rPr/>
      </w:pPr>
      <w:r>
        <w:rPr/>
        <w:t xml:space="preserve">The GDPR requires that controllers disclose to data subjects detailed information about their processing of personal data.</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(c) the purposes of the processing for which the personal data are intended as well as the legal basis for the processing; (d) where the processing is based on point (f) of Article 6(1), the legitimate interests pursued by the controller or by a third party".</w:t>
      </w:r>
    </w:p>
    <w:p>
      <w:pPr>
        <w:pStyle w:val="unindentedunitbody"/>
        <w:rPr/>
      </w:pPr>
      <w:r>
        <w:rPr/>
        <w:t xml:space="preserve">Article 14(1) of the GDPR provides that:</w:t>
      </w:r>
    </w:p>
    <w:p>
      <w:pPr>
        <w:pStyle w:val="unindentedunitbody"/>
        <w:rPr/>
      </w:pPr>
      <w:r>
        <w:rPr/>
        <w:t xml:space="preserve">"Where personal data have not been obtained from the data subject, the controller shall provide the data subject with the following information: ... (c) the purposes of the processing for which the personal data are intended as well as the legal basis for the processing; (d) the categories of personal data concerned ...". </w:t>
      </w:r>
    </w:p>
    <w:p>
      <w:pPr>
        <w:pStyle w:val="unindentedunitbody"/>
        <w:rPr/>
      </w:pPr>
      <w:r>
        <w:rPr/>
        <w:t xml:space="preserve">Article 14(2) of the GDPR, which also applies in the case that the personal data have not been obtained from the data subject, provides that:</w:t>
      </w:r>
    </w:p>
    <w:p>
      <w:pPr>
        <w:pStyle w:val="unindentedunitbody"/>
        <w:rPr/>
      </w:pPr>
      <w:r>
        <w:rPr/>
        <w:t xml:space="preserve">"In addition to the information referred to in paragraph 1, the controller shall provide the data subject with the following information necessary to ensure fair and transparent processing in respect of the data subject: ... (b) where the processing is based on point (f) of Article 6(1), the legitimate interests pursued by the controller or by a third party ... (f) from which source the personal data originate, and if applicable, whether it came from publicly accessible sources ... ".</w:t>
      </w:r>
    </w:p>
    <w:p>
      <w:pPr>
        <w:pStyle w:val="unindentedunitbody"/>
        <w:rPr/>
      </w:pPr>
      <w:r>
        <w:rPr/>
        <w:t xml:space="preserve">Article 6(1)(f) of the GDPR, which is referred to in Articles 13 and 14, provides that:</w:t>
      </w:r>
    </w:p>
    <w:p>
      <w:pPr>
        <w:pStyle w:val="unindentedunitbody"/>
        <w:rPr/>
      </w:pPr>
      <w:r>
        <w:rPr/>
        <w:t xml:space="preserve">"(1) Processing shall be lawful only if and to the extent that at least one of the following applies: ... (f)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pPr>
        <w:pStyle w:val="unindentedunitbody"/>
        <w:rPr/>
      </w:pPr>
      <w:r>
        <w:rPr/>
        <w:t xml:space="preserve">As regards the identification of the source of personal data in the case that the personal data is not obtained from the data subject, the guidance from the European Data Protection Board states that:</w:t>
      </w:r>
    </w:p>
    <w:p>
      <w:pPr>
        <w:pStyle w:val="unindentedunitbody"/>
        <w:rPr/>
      </w:pPr>
      <w:r>
        <w:rPr/>
        <w:t xml:space="preserve">"The specific source of the data should be provided unless it is not possible to do so … . If the specific source is not named then information provided should include: the nature of the sources (i.e. publicly / privately held sources) and the types of organisation / industry / sector."</w:t>
      </w:r>
    </w:p>
    <w:p>
      <w:pPr>
        <w:pStyle w:val="unindentedunitbody"/>
        <w:rPr/>
      </w:pPr>
      <w:r>
        <w:rPr/>
        <w:t xml:space="preserve">Note that, while Article 14 of the GDPR provides that information about "the categories of personal data concerned" must be supplied to data subjects, Article 13 does not include an equivalent provision. Nonetheless, we have included references to general categories of data in this document, because this facilitates the identification of particular purposes of processing and the legal bases of processing - information which does need to be provided under Article 13.</w:t>
      </w:r>
    </w:p>
    <w:p>
      <w:pPr>
        <w:pStyle w:val="unindentedunitbody"/>
        <w:rPr/>
      </w:pPr>
      <w:r>
        <w:rPr/>
        <w:t xml:space="preserve">The UK Information Commissioner's Office website provides useful guidance in relation to the selection of the legal bases for processing.</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Article 6, Regulation (EU) 2016/679 (General Data Protection Regulation) - https://gdpr-info.eu/art-6-gdpr/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unithead"/>
        <w:outlineLvl w:val="4"/>
        <w:rPr/>
      </w:pPr>
      <w:r>
        <w:rPr/>
        <w:t xml:space="preserve">Section 3.2</w:t>
      </w:r>
    </w:p>
    <w:p>
      <w:pPr>
        <w:pStyle w:val="unindentedunitbody"/>
        <w:rPr/>
      </w:pPr>
      <w:r>
        <w:rPr/>
        <w:t xml:space="preserve">Optional element.</w:t>
      </w:r>
    </w:p>
    <w:p>
      <w:pPr>
        <w:pStyle w:val="unithead"/>
        <w:outlineLvl w:val="4"/>
        <w:rPr/>
      </w:pPr>
      <w:r>
        <w:rPr/>
        <w:t xml:space="preserve">Section 3.3</w:t>
      </w:r>
    </w:p>
    <w:p>
      <w:pPr>
        <w:pStyle w:val="unindentedunitbody"/>
        <w:rPr/>
      </w:pPr>
      <w:r>
        <w:rPr/>
        <w:t xml:space="preserve">Optional element.</w:t>
      </w:r>
    </w:p>
    <w:p>
      <w:pPr>
        <w:pStyle w:val="unithead"/>
        <w:outlineLvl w:val="4"/>
        <w:rPr/>
      </w:pPr>
      <w:r>
        <w:rPr/>
        <w:t xml:space="preserve">Section 3.4</w:t>
      </w:r>
    </w:p>
    <w:p>
      <w:pPr>
        <w:pStyle w:val="unindentedunitbody"/>
        <w:rPr/>
      </w:pPr>
      <w:r>
        <w:rPr/>
        <w:t xml:space="preserve">Optional element.</w:t>
      </w:r>
    </w:p>
    <w:p>
      <w:pPr>
        <w:pStyle w:val="unithead"/>
        <w:outlineLvl w:val="4"/>
        <w:rPr/>
      </w:pPr>
      <w:r>
        <w:rPr/>
        <w:t xml:space="preserve">Section 3.5</w:t>
      </w:r>
    </w:p>
    <w:p>
      <w:pPr>
        <w:pStyle w:val="unindentedunitbody"/>
        <w:rPr/>
      </w:pPr>
      <w:r>
        <w:rPr/>
        <w:t xml:space="preserve">Optional element.</w:t>
      </w:r>
    </w:p>
    <w:p>
      <w:pPr>
        <w:pStyle w:val="unithead"/>
        <w:outlineLvl w:val="4"/>
        <w:rPr/>
      </w:pPr>
      <w:r>
        <w:rPr/>
        <w:t xml:space="preserve">Section 3.6</w:t>
      </w:r>
    </w:p>
    <w:p>
      <w:pPr>
        <w:pStyle w:val="unindentedunitbody"/>
        <w:rPr/>
      </w:pPr>
      <w:r>
        <w:rPr/>
        <w:t xml:space="preserve">Optional element.</w:t>
      </w:r>
    </w:p>
    <w:p>
      <w:pPr>
        <w:pStyle w:val="unithead"/>
        <w:outlineLvl w:val="4"/>
        <w:rPr/>
      </w:pPr>
      <w:r>
        <w:rPr/>
        <w:t xml:space="preserve">Section 3.7</w:t>
      </w:r>
    </w:p>
    <w:p>
      <w:pPr>
        <w:pStyle w:val="unindentedunitbody"/>
        <w:rPr/>
      </w:pPr>
      <w:r>
        <w:rPr/>
        <w:t xml:space="preserve">Optional element.</w:t>
      </w:r>
    </w:p>
    <w:p>
      <w:pPr>
        <w:pStyle w:val="unithead"/>
        <w:outlineLvl w:val="4"/>
        <w:rPr/>
      </w:pPr>
      <w:r>
        <w:rPr/>
        <w:t xml:space="preserve">Section 3.8</w:t>
      </w:r>
    </w:p>
    <w:p>
      <w:pPr>
        <w:pStyle w:val="unindentedunitbody"/>
        <w:rPr/>
      </w:pPr>
      <w:r>
        <w:rPr/>
        <w:t xml:space="preserve">Optional element. Use this form of provision to identify and provide relevant information about other categories of personal data that you may process.</w:t>
      </w:r>
    </w:p>
    <w:p>
      <w:pPr>
        <w:pStyle w:val="unithead"/>
        <w:outlineLvl w:val="4"/>
        <w:rPr/>
      </w:pPr>
      <w:r>
        <w:rPr/>
        <w:t xml:space="preserve">Section 3.9</w:t>
      </w:r>
    </w:p>
    <w:p>
      <w:pPr>
        <w:pStyle w:val="unindentedunitbody"/>
        <w:rPr/>
      </w:pPr>
      <w:r>
        <w:rPr/>
        <w:t xml:space="preserve">Optional element.</w:t>
      </w:r>
    </w:p>
    <w:p>
      <w:pPr>
        <w:pStyle w:val="unithead"/>
        <w:outlineLvl w:val="4"/>
        <w:rPr/>
      </w:pPr>
      <w:r>
        <w:rPr/>
        <w:t xml:space="preserve">Section 3.10</w:t>
      </w:r>
    </w:p>
    <w:p>
      <w:pPr>
        <w:pStyle w:val="unindentedunitbody"/>
        <w:rPr/>
      </w:pPr>
      <w:r>
        <w:rPr/>
        <w:t xml:space="preserve">Optional element.</w:t>
      </w:r>
    </w:p>
    <w:p>
      <w:pPr>
        <w:pStyle w:val="unithead"/>
        <w:outlineLvl w:val="4"/>
        <w:rPr/>
      </w:pPr>
      <w:r>
        <w:rPr/>
        <w:t xml:space="preserve">Section 3.12</w:t>
      </w:r>
    </w:p>
    <w:p>
      <w:pPr>
        <w:pStyle w:val="unindentedunitbody"/>
        <w:rPr/>
      </w:pPr>
      <w:r>
        <w:rPr/>
        <w:t xml:space="preserve">Optional element.</w:t>
      </w:r>
    </w:p>
    <w:p>
      <w:pPr>
        <w:pStyle w:val="sectionhead"/>
        <w:outlineLvl w:val="3"/>
        <w:rPr/>
      </w:pPr>
      <w:r>
        <w:rPr/>
        <w:t xml:space="preserve">Section 4: Providing your personal data to others</w:t>
      </w:r>
    </w:p>
    <w:p>
      <w:pPr>
        <w:pStyle w:val="unindentedunitbody"/>
        <w:rPr/>
      </w:pPr>
      <w:r>
        <w:rPr/>
        <w:t xml:space="preserve">Article 13(1)(e) of the GDPR requires that where personal data are collected from the data subject, the data controller must provide the data subject with information about "the recipients or categories of recipients of the personal data".</w:t>
      </w:r>
    </w:p>
    <w:p>
      <w:pPr>
        <w:pStyle w:val="unindentedunitbody"/>
        <w:rPr/>
      </w:pPr>
      <w:r>
        <w:rPr/>
        <w:t xml:space="preserve">Equivalent rules for data collected from someone other than the data subject are in Article 14(1)(e).</w:t>
      </w:r>
    </w:p>
    <w:p>
      <w:pPr>
        <w:pStyle w:val="unindentedunitbody"/>
        <w:rPr/>
      </w:pPr>
      <w:r>
        <w:rPr/>
        <w:t xml:space="preserve">Although the GDPR refers to "categories of recipients", the guidance from the European Data Protection Board on this subject states:</w:t>
      </w:r>
    </w:p>
    <w:p>
      <w:pPr>
        <w:pStyle w:val="unindentedunitbody"/>
        <w:rPr/>
      </w:pPr>
      <w:r>
        <w:rPr/>
        <w:t xml:space="preserve">"The term 'recipient' is defined in Article 4.9 as 'a natural or legal person, public authority, agency or another body, to which the personal data are disclosed, whether a third party or not' [emphasis added]. As such, a recipient does not have to be a third party. Therefore, other data controllers, joint controllers and processors to whom data is transferred or disclosed are covered by the term 'recipient' and information on such recipients should be provided in addition to information on third party recipients. The actual (named) recipients of the personal data, or the categories of recipients, must be provided. In accordance with the principle of fairness, controllers must provide information on the recipients that is most meaningful for data subjects. In practice, this will generally be the named recipients, so that data subjects know exactly who has their personal data. If controllers opt to provide the categories of recipients, the information should be as specific as possible by indicating the type of recipient (i.e. by reference to the activities it carries out), the industry, sector and sub-sector and the location of the recipients."</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4.1</w:t>
      </w:r>
    </w:p>
    <w:p>
      <w:pPr>
        <w:pStyle w:val="unindentedunitbody"/>
        <w:rPr/>
      </w:pPr>
      <w:r>
        <w:rPr/>
        <w:t xml:space="preserve">Optional element.</w:t>
      </w:r>
    </w:p>
    <w:p>
      <w:pPr>
        <w:pStyle w:val="unithead"/>
        <w:outlineLvl w:val="4"/>
        <w:rPr/>
      </w:pPr>
      <w:r>
        <w:rPr/>
        <w:t xml:space="preserve">Section 4.2</w:t>
      </w:r>
    </w:p>
    <w:p>
      <w:pPr>
        <w:pStyle w:val="unindentedunitbody"/>
        <w:rPr/>
      </w:pPr>
      <w:r>
        <w:rPr/>
        <w:t xml:space="preserve">Optional element.</w:t>
      </w:r>
    </w:p>
    <w:p>
      <w:pPr>
        <w:pStyle w:val="unithead"/>
        <w:outlineLvl w:val="4"/>
        <w:rPr/>
      </w:pPr>
      <w:r>
        <w:rPr/>
        <w:t xml:space="preserve">Section 4.3</w:t>
      </w:r>
    </w:p>
    <w:p>
      <w:pPr>
        <w:pStyle w:val="unindentedunitbody"/>
        <w:rPr/>
      </w:pPr>
      <w:r>
        <w:rPr/>
        <w:t xml:space="preserve">Optional element.</w:t>
      </w:r>
    </w:p>
    <w:p>
      <w:pPr>
        <w:pStyle w:val="sectionhead"/>
        <w:outlineLvl w:val="3"/>
        <w:rPr/>
      </w:pPr>
      <w:r>
        <w:rPr/>
        <w:t xml:space="preserve">Section 5: International transfers of your personal data</w:t>
      </w:r>
    </w:p>
    <w:p>
      <w:pPr>
        <w:pStyle w:val="unindentedunitbody"/>
        <w:rPr/>
      </w:pPr>
      <w:r>
        <w:rPr/>
        <w:t xml:space="preserve">Optional element.</w:t>
      </w:r>
    </w:p>
    <w:p>
      <w:pPr>
        <w:pStyle w:val="unindentedunitbody"/>
        <w:rPr/>
      </w:pPr>
      <w:r>
        <w:rPr/>
        <w:t xml:space="preserve">Article 13(1)(f) of the GDPR requires that data controllers disclose to data subjects "where applicable, the fact that the controller intends to transfer personal data to a third country or international organisation and the existence or absence of an adequacy decision by the Commission, or in the case of transfers referred to in Article 46 [transfers subject to appropriate safeguards] or 47 [binding corporate rules], or the second subparagraph of Article 49(1) [limited transfers for compelling legitimate interests], reference to the appropriate or suitable safeguards and the means by which to obtain a copy of them or where they have been made available".</w:t>
      </w:r>
    </w:p>
    <w:p>
      <w:pPr>
        <w:pStyle w:val="unindentedunitbody"/>
        <w:rPr/>
      </w:pPr>
      <w:r>
        <w:rPr/>
        <w:t xml:space="preserve">The European Data Protection Board guidance on this issue states:</w:t>
      </w:r>
    </w:p>
    <w:p>
      <w:pPr>
        <w:pStyle w:val="unindentedunitbody"/>
        <w:rPr/>
      </w:pPr>
      <w:r>
        <w:rPr/>
        <w:t xml:space="preserve">"The relevant GDPR article permitting the transfer and the corresponding mechanism ... should be specified. Information on where and how the relevant document may be accessed or obtained should also be provided e.g. by providing a link to the mechanism used. In accordance with the principle of fairness, the information provided on transfers to third countries should be as meaningful as possible to data subjects; this will generally mean that the third countries be named."</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5.2</w:t>
      </w:r>
    </w:p>
    <w:p>
      <w:pPr>
        <w:pStyle w:val="unindentedunitbody"/>
        <w:rPr/>
      </w:pPr>
      <w:r>
        <w:rPr/>
        <w:t xml:space="preserve">Optional element.</w:t>
      </w:r>
    </w:p>
    <w:p>
      <w:pPr>
        <w:pStyle w:val="unithead"/>
        <w:outlineLvl w:val="4"/>
        <w:rPr/>
      </w:pPr>
      <w:r>
        <w:rPr/>
        <w:t xml:space="preserve">Section 5.3</w:t>
      </w:r>
    </w:p>
    <w:p>
      <w:pPr>
        <w:pStyle w:val="unindentedunitbody"/>
        <w:rPr/>
      </w:pPr>
      <w:r>
        <w:rPr/>
        <w:t xml:space="preserve">Optional element.</w:t>
      </w:r>
    </w:p>
    <w:p>
      <w:pPr>
        <w:pStyle w:val="unithead"/>
        <w:outlineLvl w:val="4"/>
        <w:rPr/>
      </w:pPr>
      <w:r>
        <w:rPr/>
        <w:t xml:space="preserve">Section 5.4</w:t>
      </w:r>
    </w:p>
    <w:p>
      <w:pPr>
        <w:pStyle w:val="unindentedunitbody"/>
        <w:rPr/>
      </w:pPr>
      <w:r>
        <w:rPr/>
        <w:t xml:space="preserve">Optional element. Will users have the opportunity to publish personal information on the website?</w:t>
      </w:r>
    </w:p>
    <w:p>
      <w:pPr>
        <w:pStyle w:val="sectionhead"/>
        <w:outlineLvl w:val="3"/>
        <w:rPr/>
      </w:pPr>
      <w:r>
        <w:rPr/>
        <w:t xml:space="preserve">Section 6: Retaining and deleting personal data</w:t>
      </w:r>
    </w:p>
    <w:p>
      <w:pPr>
        <w:pStyle w:val="unindentedunitbody"/>
        <w:rPr/>
      </w:pPr>
      <w:r>
        <w:rPr/>
        <w:t xml:space="preserve">Article 5(1)(e) of the GDPR sets out the storage limitation, one of the fundamental rules of the regime:</w:t>
      </w:r>
    </w:p>
    <w:p>
      <w:pPr>
        <w:pStyle w:val="unindentedunitbody"/>
        <w:rPr/>
      </w:pPr>
      <w:r>
        <w:rPr/>
        <w:t xml:space="preserve">"Personal data shall be: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 ".</w:t>
      </w:r>
    </w:p>
    <w:p>
      <w:pPr>
        <w:pStyle w:val="unindentedunitbody"/>
        <w:rPr/>
      </w:pPr>
      <w:r>
        <w:rPr/>
        <w:t xml:space="preserve">Article 13(2) of the GDPR provides, in relation to personal data collected from the data subject, that:</w:t>
      </w:r>
    </w:p>
    <w:p>
      <w:pPr>
        <w:pStyle w:val="unindentedunitbody"/>
        <w:rPr/>
      </w:pPr>
      <w:r>
        <w:rPr/>
        <w:t xml:space="preserve">"... the controller shall, at the time when personal data are obtained, provide the data subject with the following further information necessary to ensure fair and transparent processing: (a) the period for which the personal data will be stored, or if that is not possible, the criteria used to determine that period ...".</w:t>
      </w:r>
    </w:p>
    <w:p>
      <w:pPr>
        <w:pStyle w:val="unindentedunitbody"/>
        <w:rPr/>
      </w:pPr>
      <w:r>
        <w:rPr/>
        <w:t xml:space="preserve">Article 14(2) of the GDPR makes similar provision in relation to personal data that is not collected from the data subject.</w:t>
      </w:r>
    </w:p>
    <w:p>
      <w:pPr>
        <w:pStyle w:val="unindentedunitbody"/>
        <w:rPr/>
      </w:pPr>
      <w:r>
        <w:rPr/>
        <w:t xml:space="preserve">The European Data Protection Board guidance on this issue states:</w:t>
      </w:r>
    </w:p>
    <w:p>
      <w:pPr>
        <w:pStyle w:val="unindentedunitbody"/>
        <w:rPr/>
      </w:pPr>
      <w:r>
        <w:rPr/>
        <w:t xml:space="preserve">"This is linked to the data minimisation requirement in Article 5.1(c) and storage limitation requirement in Article 5.1(e). The storage period (or criteria to determine it) may be dictated by factors such as statutory requirements or industry guidelines but should be phrased in a way that allows the data subject to assess, on the basis of his or her own situation, what the retention period will be for specific data / purposes. It is not sufficient for the data controller to generically state that personal data will be kept as long as necessary for the legitimate purposes of the processing. Where relevant, the different storage periods should be stipulated for different categories of personal data and/or different processing purposes, including where appropriate, archiving periods."</w:t>
      </w:r>
    </w:p>
    <w:p>
      <w:pPr>
        <w:pStyle w:val="ListParagraphPHPDOCX"/>
        <w:numPr>
          <w:ilvl w:val="0"/>
          <w:numId w:val="1"/>
        </w:numPr>
      </w:pPr>
      <w:r>
        <w:rPr>
          <w:rFonts w:ascii="Verdana" w:hAnsi="Verdana" w:cs="Verdana"/>
          <w:i w:val="on"/>
          <w:iCs w:val="on"/>
          <w:color w:val="000000"/>
          <w:sz w:val="20"/>
          <w:szCs w:val="20"/>
        </w:rPr>
        <w:t xml:space="preserve">Article 5, Regulation (EU) 2016/679 (General Data Protection Regulation) - https://gdpr-info.eu/art-5-gdpr/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unithead"/>
        <w:outlineLvl w:val="4"/>
        <w:rPr/>
      </w:pPr>
      <w:r>
        <w:rPr/>
        <w:t xml:space="preserve">Section 6.3</w:t>
      </w:r>
    </w:p>
    <w:p>
      <w:pPr>
        <w:pStyle w:val="ListParagraphPHPDOCX"/>
        <w:numPr>
          <w:ilvl w:val="0"/>
          <w:numId w:val="1"/>
        </w:numPr>
      </w:pPr>
      <w:r>
        <w:rPr>
          <w:rFonts w:ascii="Verdana" w:hAnsi="Verdana" w:cs="Verdana"/>
          <w:i w:val="on"/>
          <w:iCs w:val="on"/>
          <w:color w:val="000000"/>
          <w:sz w:val="20"/>
          <w:szCs w:val="20"/>
        </w:rPr>
        <w:t xml:space="preserve">Principle (e): storage limitation, Guide to the GDPR, UK Information Commissioner's Office - https://ico.org.uk/for-organisations/guide-to-data-protection/guide-to-the-general-data-protection-regulation-gdpr/principles/storage-limitation/</w:t>
      </w:r>
    </w:p>
    <w:p>
      <w:pPr>
        <w:pStyle w:val="sectionhead"/>
        <w:outlineLvl w:val="3"/>
        <w:rPr/>
      </w:pPr>
      <w:r>
        <w:rPr/>
        <w:t xml:space="preserve">Section 7: Your rights</w:t>
      </w:r>
    </w:p>
    <w:p>
      <w:pPr>
        <w:pStyle w:val="unindentedunitbody"/>
        <w:rPr/>
      </w:pPr>
      <w:r>
        <w:rPr/>
        <w:t xml:space="preserve">Article 13(2) of the GDPR provides that, where personal data is collected from a data subject, certain information about data subject rights must be provided:</w:t>
      </w:r>
    </w:p>
    <w:p>
      <w:pPr>
        <w:pStyle w:val="unindentedunitbody"/>
        <w:rPr/>
      </w:pPr>
      <w:r>
        <w:rPr/>
        <w:t xml:space="preserve">"In addition to the information referred to in paragraph 1, the controller shall, at the time when personal data are obtained, provide the data subject with the following further information necessary to ensure fair and transparent processing: ... (b) the existence of the right to request from the controller access to and rectification or erasure of personal data or restriction of processing concerning the data subject or to object to processing as well as the right to data portability; (c) where the processing is based on point (a) of Article 6(1) or point (a) of Article 9(2), the existence of the right to withdraw consent at any time, without affecting the lawfulness of processing based on consent before its withdrawal; ...".</w:t>
      </w:r>
    </w:p>
    <w:p>
      <w:pPr>
        <w:pStyle w:val="unindentedunitbody"/>
        <w:rPr/>
      </w:pPr>
      <w:r>
        <w:rPr/>
        <w:t xml:space="preserve">Similar provisions are set out in Article 14 in relation to personal data which is not collected from the relevant data subject.</w:t>
      </w:r>
    </w:p>
    <w:p>
      <w:pPr>
        <w:pStyle w:val="unindentedunitbody"/>
        <w:rPr/>
      </w:pPr>
      <w:r>
        <w:rPr/>
        <w:t xml:space="preserve">The European Data Protection Board guidance on this issue states:</w:t>
      </w:r>
    </w:p>
    <w:p>
      <w:pPr>
        <w:pStyle w:val="unindentedunitbody"/>
        <w:rPr/>
      </w:pPr>
      <w:r>
        <w:rPr/>
        <w:t xml:space="preserve">"This information should be specific to the processing scenario and include a summary of what the right involves and how the data subject can take steps to exercise it and any limitations on the right … . In particular, the right to object to processing must be explicitly brought to the data subject's attention at the latest at the time of first communication with the data subject and must be presented clearly and separately from any other information."</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p>
      <w:pPr>
        <w:pStyle w:val="ListParagraphPHPDOCX"/>
        <w:numPr>
          <w:ilvl w:val="0"/>
          <w:numId w:val="1"/>
        </w:numPr>
      </w:pPr>
      <w:r>
        <w:rPr>
          <w:rFonts w:ascii="Verdana" w:hAnsi="Verdana" w:cs="Verdana"/>
          <w:i w:val="on"/>
          <w:iCs w:val="on"/>
          <w:color w:val="000000"/>
          <w:sz w:val="20"/>
          <w:szCs w:val="20"/>
        </w:rPr>
        <w:t xml:space="preserve">Guidelines on transparency under Regulation 2016/679, European Data Protection Board - https://ec.europa.eu/newsroom/article29/item-detail.cfm?item_id=622227</w:t>
      </w:r>
    </w:p>
    <w:p>
      <w:pPr>
        <w:pStyle w:val="sectionhead"/>
        <w:outlineLvl w:val="3"/>
        <w:rPr/>
      </w:pPr>
      <w:r>
        <w:rPr/>
        <w:t xml:space="preserve">Section 8: About cookies</w:t>
      </w:r>
    </w:p>
    <w:p>
      <w:pPr>
        <w:pStyle w:val="unindentedunitbody"/>
        <w:rPr/>
      </w:pPr>
      <w:r>
        <w:rPr/>
        <w:t xml:space="preserve">Optional element.</w:t>
      </w:r>
    </w:p>
    <w:p>
      <w:pPr>
        <w:pStyle w:val="unindentedunitbody"/>
        <w:rPr/>
      </w:pPr>
      <w:r>
        <w:rPr/>
        <w:t xml:space="preserve">Under EU law, there are two additional requirements in relation to the use of cookies and similar technologies, which apply over-and-above the rules regulating the processing of personal data: a consent requirement and an information disclosure requirement. The provisions of this document relating to cookies are designed to aid compliance with the information disclosure requirement.</w:t>
      </w:r>
    </w:p>
    <w:p>
      <w:pPr>
        <w:pStyle w:val="unindentedunitbody"/>
        <w:rPr/>
      </w:pPr>
      <w:r>
        <w:rPr/>
        <w:t xml:space="preserve">This requirement derives from Article 5(3) of Directive 2002/58/EC of the European Parliament and of the Council of 12 July 2002 concerning the processing of personal data and the protection of privacy in the electronic communications sector (Directive on privacy and electronic communications), which provides that:</w:t>
      </w:r>
    </w:p>
    <w:p>
      <w:pPr>
        <w:pStyle w:val="unindentedunitbody"/>
        <w:rPr/>
      </w:pPr>
      <w:r>
        <w:rPr/>
        <w:t xml:space="preserve">"Member States shall ensure that the use of electronic communications networks to store information or to gain access to information stored in the terminal equipment of a subscriber or user is only allowed on condition that the subscriber or user concerned is provided with clear and comprehensive information in accordance with Directive 95/46/EC, inter alia about the purposes of the processing, and is offered the right to refuse such processing by the data controller. This shall not prevent any technical storage or access for the sole purpose of carrying out or facilitating the transmission of a communication over an electronic communications network, or as strictly necessary in order to provide an information society service explicitly requested by the subscriber or user."</w:t>
      </w:r>
    </w:p>
    <w:p>
      <w:pPr>
        <w:pStyle w:val="unindentedunitbody"/>
        <w:rPr/>
      </w:pPr>
      <w:r>
        <w:rPr/>
        <w:t xml:space="preserve">The requirement is implemented in the UK in the Privacy and Electronic Communications (EC Directive) Regulations 2003. In its current (amended) form, Regulation 6 states:</w:t>
      </w:r>
    </w:p>
    <w:p>
      <w:pPr>
        <w:pStyle w:val="unindentedunitbody"/>
        <w:rPr/>
      </w:pPr>
      <w:r>
        <w:rPr/>
        <w:t xml:space="preserve">"(1) Subject to paragraph (4), a person shall not store or gain access to information stored, in the terminal equipment of a subscriber or user unless the requirements of paragraph (2) are met.</w:t>
      </w:r>
    </w:p>
    <w:p>
      <w:pPr>
        <w:pStyle w:val="unindentedunitbody"/>
        <w:rPr/>
      </w:pPr>
      <w:r>
        <w:rPr/>
        <w:t xml:space="preserve">(2) The requirements are that the subscriber or user of that terminal equipment - (a) is provided with clear and comprehensive information about the purposes of the storage of, or access to, that information; and (b) has given his or her consent.</w:t>
      </w:r>
    </w:p>
    <w:p>
      <w:pPr>
        <w:pStyle w:val="unindentedunitbody"/>
        <w:rPr/>
      </w:pPr>
      <w:r>
        <w:rPr/>
        <w:t xml:space="preserve">(3) Where an electronic communications network is used by the same person to store or access information in the terminal equipment of a subscriber or user on more than one occasion, it is sufficient for the purposes of this regulation that the requirements of paragraph (2) are met in respect of the initial use.</w:t>
      </w:r>
    </w:p>
    <w:p>
      <w:pPr>
        <w:pStyle w:val="unindentedunitbody"/>
        <w:rPr/>
      </w:pPr>
      <w:r>
        <w:rPr/>
        <w:t xml:space="preserve">(3A) For the purposes of paragraph (2), consent may be signified by a subscriber who amends or sets controls on the internet browser which the subscriber uses or by using another application or programme to signify consent.</w:t>
      </w:r>
    </w:p>
    <w:p>
      <w:pPr>
        <w:pStyle w:val="unindentedunitbody"/>
        <w:rPr/>
      </w:pPr>
      <w:r>
        <w:rPr/>
        <w:t xml:space="preserve">(4) Paragraph (1) shall not apply to the technical storage of, or access to, information - (a) for the sole purpose of carrying out the transmission of a communication over an electronic communications network; or (b) where such storage or access is strictly necessary for the provision of an information society service requested by the subscriber or user."</w:t>
      </w:r>
    </w:p>
    <w:p>
      <w:pPr>
        <w:pStyle w:val="unindentedunitbody"/>
        <w:rPr/>
      </w:pPr>
      <w:r>
        <w:rPr/>
        <w:t xml:space="preserve">In their original form, these Regulations can be found on the legislation.gov.uk website.</w:t>
      </w:r>
    </w:p>
    <w:p>
      <w:pPr>
        <w:pStyle w:val="ListParagraphPHPDOCX"/>
        <w:numPr>
          <w:ilvl w:val="0"/>
          <w:numId w:val="1"/>
        </w:numPr>
      </w:pPr>
      <w:r>
        <w:rPr>
          <w:rFonts w:ascii="Verdana" w:hAnsi="Verdana" w:cs="Verdana"/>
          <w:i w:val="on"/>
          <w:iCs w:val="on"/>
          <w:color w:val="000000"/>
          <w:sz w:val="20"/>
          <w:szCs w:val="20"/>
        </w:rPr>
        <w:t xml:space="preserve">Directive 2002/58/EC (Directive on privacy and electronic communications) - https://eur-lex.europa.eu/legal-content/EN/TXT/HTML/?uri=CELEX:32002L0058&amp;from=EN</w:t>
      </w:r>
    </w:p>
    <w:p>
      <w:pPr>
        <w:pStyle w:val="ListParagraphPHPDOCX"/>
        <w:numPr>
          <w:ilvl w:val="0"/>
          <w:numId w:val="1"/>
        </w:numPr>
      </w:pPr>
      <w:r>
        <w:rPr>
          <w:rFonts w:ascii="Verdana" w:hAnsi="Verdana" w:cs="Verdana"/>
          <w:i w:val="on"/>
          <w:iCs w:val="on"/>
          <w:color w:val="000000"/>
          <w:sz w:val="20"/>
          <w:szCs w:val="20"/>
        </w:rPr>
        <w:t xml:space="preserve">Privacy and Electronic Communications (EC Directive) Regulations 2003 (original form) - http://www.legislation.gov.uk/uksi/2003/2426/made</w:t>
      </w:r>
    </w:p>
    <w:p>
      <w:pPr>
        <w:pStyle w:val="unithead"/>
        <w:outlineLvl w:val="4"/>
        <w:rPr/>
      </w:pPr>
      <w:r>
        <w:rPr/>
        <w:t xml:space="preserve">Section 8.2</w:t>
      </w:r>
    </w:p>
    <w:p>
      <w:pPr>
        <w:pStyle w:val="unindentedunitbody"/>
        <w:rPr/>
      </w:pPr>
      <w:r>
        <w:rPr/>
        <w:t xml:space="preserve">Optional element.</w:t>
      </w:r>
    </w:p>
    <w:p>
      <w:pPr>
        <w:pStyle w:val="unithead"/>
        <w:outlineLvl w:val="4"/>
        <w:rPr/>
      </w:pPr>
      <w:r>
        <w:rPr/>
        <w:t xml:space="preserve">Section 8.3</w:t>
      </w:r>
    </w:p>
    <w:p>
      <w:pPr>
        <w:pStyle w:val="unindentedunitbody"/>
        <w:rPr/>
      </w:pPr>
      <w:r>
        <w:rPr/>
        <w:t xml:space="preserve">Optional element.</w:t>
      </w:r>
    </w:p>
    <w:p>
      <w:pPr>
        <w:pStyle w:val="sectionhead"/>
        <w:outlineLvl w:val="3"/>
        <w:rPr/>
      </w:pPr>
      <w:r>
        <w:rPr/>
        <w:t xml:space="preserve">Section 9: Cookies that we use</w:t>
      </w:r>
    </w:p>
    <w:p>
      <w:pPr>
        <w:pStyle w:val="unindentedunitbody"/>
        <w:rPr/>
      </w:pPr>
      <w:r>
        <w:rPr/>
        <w:t xml:space="preserve">Optional element.</w:t>
      </w:r>
    </w:p>
    <w:p>
      <w:pPr>
        <w:pStyle w:val="sectionhead"/>
        <w:outlineLvl w:val="3"/>
        <w:rPr/>
      </w:pPr>
      <w:r>
        <w:rPr/>
        <w:t xml:space="preserve">Section 10: Cookies used by our service providers</w:t>
      </w:r>
    </w:p>
    <w:p>
      <w:pPr>
        <w:pStyle w:val="unindentedunitbody"/>
        <w:rPr/>
      </w:pPr>
      <w:r>
        <w:rPr/>
        <w:t xml:space="preserve">Does the website serve any third party cookies, analytics cookies or tracking cookies to users?</w:t>
      </w:r>
    </w:p>
    <w:p>
      <w:pPr>
        <w:pStyle w:val="unithead"/>
        <w:outlineLvl w:val="4"/>
        <w:rPr/>
      </w:pPr>
      <w:r>
        <w:rPr/>
        <w:t xml:space="preserve">Section 10.2</w:t>
      </w:r>
    </w:p>
    <w:p>
      <w:pPr>
        <w:pStyle w:val="unindentedunitbody"/>
        <w:rPr/>
      </w:pPr>
      <w:r>
        <w:rPr/>
        <w:t xml:space="preserve">Optional element.</w:t>
      </w:r>
    </w:p>
    <w:p>
      <w:pPr>
        <w:pStyle w:val="unithead"/>
        <w:outlineLvl w:val="4"/>
        <w:rPr/>
      </w:pPr>
      <w:r>
        <w:rPr/>
        <w:t xml:space="preserve">Section 10.3</w:t>
      </w:r>
    </w:p>
    <w:p>
      <w:pPr>
        <w:pStyle w:val="unindentedunitbody"/>
        <w:rPr/>
      </w:pPr>
      <w:r>
        <w:rPr/>
        <w:t xml:space="preserve">Optional element.</w:t>
      </w:r>
    </w:p>
    <w:p>
      <w:pPr>
        <w:pStyle w:val="sectionhead"/>
        <w:outlineLvl w:val="3"/>
        <w:rPr/>
      </w:pPr>
      <w:r>
        <w:rPr/>
        <w:t xml:space="preserve">Section 11: Managing cookies</w:t>
      </w:r>
    </w:p>
    <w:p>
      <w:pPr>
        <w:pStyle w:val="unindentedunitbody"/>
        <w:rPr/>
      </w:pPr>
      <w:r>
        <w:rPr/>
        <w:t xml:space="preserve">Optional element.</w:t>
      </w:r>
    </w:p>
    <w:p>
      <w:pPr>
        <w:pStyle w:val="unithead"/>
        <w:outlineLvl w:val="4"/>
        <w:rPr/>
      </w:pPr>
      <w:r>
        <w:rPr/>
        <w:t xml:space="preserve">Section 11.3</w:t>
      </w:r>
    </w:p>
    <w:p>
      <w:pPr>
        <w:pStyle w:val="unindentedunitbody"/>
        <w:rPr/>
      </w:pPr>
      <w:r>
        <w:rPr/>
        <w:t xml:space="preserve">Optional element. Will the blocking of cookies have a negative effect upon the use of the website from a user perspective?</w:t>
      </w:r>
    </w:p>
    <w:p>
      <w:pPr>
        <w:pStyle w:val="sectionhead"/>
        <w:outlineLvl w:val="3"/>
        <w:rPr/>
      </w:pPr>
      <w:r>
        <w:rPr/>
        <w:t xml:space="preserve">Section 12: Amendments</w:t>
      </w:r>
    </w:p>
    <w:p>
      <w:pPr>
        <w:pStyle w:val="unindentedunitbody"/>
        <w:rPr/>
      </w:pPr>
      <w:r>
        <w:rPr/>
        <w:t xml:space="preserve">Optional element.</w:t>
      </w:r>
    </w:p>
    <w:p>
      <w:pPr>
        <w:pStyle w:val="unithead"/>
        <w:outlineLvl w:val="4"/>
        <w:rPr/>
      </w:pPr>
      <w:r>
        <w:rPr/>
        <w:t xml:space="preserve">Section 12.2</w:t>
      </w:r>
    </w:p>
    <w:p>
      <w:pPr>
        <w:pStyle w:val="unindentedunitbody"/>
        <w:rPr/>
      </w:pPr>
      <w:r>
        <w:rPr/>
        <w:t xml:space="preserve">Optional element.</w:t>
      </w:r>
    </w:p>
    <w:p>
      <w:pPr>
        <w:pStyle w:val="unithead"/>
        <w:outlineLvl w:val="4"/>
        <w:rPr/>
      </w:pPr>
      <w:r>
        <w:rPr/>
        <w:t xml:space="preserve">Section 12.3</w:t>
      </w:r>
    </w:p>
    <w:p>
      <w:pPr>
        <w:pStyle w:val="unindentedunitbody"/>
        <w:rPr/>
      </w:pPr>
      <w:r>
        <w:rPr/>
        <w:t xml:space="preserve">Optional element. Will you contact users to notify them of changes to this policy?</w:t>
      </w:r>
    </w:p>
    <w:p>
      <w:pPr>
        <w:pStyle w:val="sectionhead"/>
        <w:outlineLvl w:val="3"/>
        <w:rPr/>
      </w:pPr>
      <w:r>
        <w:rPr/>
        <w:t xml:space="preserve">Section 13: Our details</w:t>
      </w:r>
    </w:p>
    <w:p>
      <w:pPr>
        <w:pStyle w:val="unindentedunitbody"/>
        <w:rPr/>
      </w:pPr>
      <w:r>
        <w:rPr/>
        <w:t xml:space="preserve">UK companies must provide their corporate names, their registration numbers, their place of registration and their registered office address on their websites (although not necessarily in this document).</w:t>
      </w:r>
    </w:p>
    <w:p>
      <w:pPr>
        <w:pStyle w:val="unindentedunitbody"/>
        <w:rPr/>
      </w:pPr>
      <w:r>
        <w:rPr/>
        <w:t xml:space="preserve">Sole traders and partnerships that carry on a business in the UK under a "business name" (i.e. a name which is not the name of the trader/names of the partners or certain other specified classes of name) must also make certain website disclosures: (a) in the case of a sole trader, the individual's name; (b) in the case of a partnership, the name of each member of the partnership; and (c) in either case, in relation to each person named, an address in the UK at which service of any document relating in any way to the business will be effective.</w:t>
      </w:r>
    </w:p>
    <w:p>
      <w:pPr>
        <w:pStyle w:val="unindentedunitbody"/>
        <w:rPr/>
      </w:pPr>
      <w:r>
        <w:rPr/>
        <w:t xml:space="preserve">All websites covered by the Electronic Commerce (EC Directive) Regulations 2002 must provide a geographic address (not a PO Box number) and an email address.</w:t>
      </w:r>
    </w:p>
    <w:p>
      <w:pPr>
        <w:pStyle w:val="unindentedunitbody"/>
        <w:rPr/>
      </w:pPr>
      <w:r>
        <w:rPr/>
        <w:t xml:space="preserve">All website operators covered by the Provision of Services Regulations 2009 must also provide a telephone number.</w:t>
      </w:r>
    </w:p>
    <w:p>
      <w:pPr>
        <w:pStyle w:val="ListParagraphPHPDOCX"/>
        <w:numPr>
          <w:ilvl w:val="0"/>
          <w:numId w:val="1"/>
        </w:numPr>
      </w:pPr>
      <w:r>
        <w:rPr>
          <w:rFonts w:ascii="Verdana" w:hAnsi="Verdana" w:cs="Verdana"/>
          <w:i w:val="on"/>
          <w:iCs w:val="on"/>
          <w:color w:val="000000"/>
          <w:sz w:val="20"/>
          <w:szCs w:val="20"/>
        </w:rPr>
        <w:t xml:space="preserve">The Electronic Commerce (EC Directive) Regulations 2002 (original version) - https://www.legislation.gov.uk/uksi/2002/2013/made</w:t>
      </w:r>
    </w:p>
    <w:p>
      <w:pPr>
        <w:pStyle w:val="ListParagraphPHPDOCX"/>
        <w:numPr>
          <w:ilvl w:val="0"/>
          <w:numId w:val="1"/>
        </w:numPr>
      </w:pPr>
      <w:r>
        <w:rPr>
          <w:rFonts w:ascii="Verdana" w:hAnsi="Verdana" w:cs="Verdana"/>
          <w:i w:val="on"/>
          <w:iCs w:val="on"/>
          <w:color w:val="000000"/>
          <w:sz w:val="20"/>
          <w:szCs w:val="20"/>
        </w:rPr>
        <w:t xml:space="preserve">The Provision of Services Regulations 2009 - https://www.legislation.gov.uk/uksi/2009/2999</w:t>
      </w:r>
    </w:p>
    <w:p>
      <w:pPr>
        <w:pStyle w:val="unithead"/>
        <w:outlineLvl w:val="4"/>
        <w:rPr/>
      </w:pPr>
      <w:r>
        <w:rPr/>
        <w:t xml:space="preserve">Section 13.2</w:t>
      </w:r>
    </w:p>
    <w:p>
      <w:pPr>
        <w:pStyle w:val="unindentedunitbody"/>
        <w:rPr/>
      </w:pPr>
      <w:r>
        <w:rPr/>
        <w:t xml:space="preserve">Optional element. Is the relevant person a company?</w:t>
      </w:r>
    </w:p>
    <w:p>
      <w:pPr>
        <w:pStyle w:val="unithead"/>
        <w:outlineLvl w:val="4"/>
        <w:rPr/>
      </w:pPr>
      <w:r>
        <w:rPr/>
        <w:t xml:space="preserve">Section 13.3</w:t>
      </w:r>
    </w:p>
    <w:p>
      <w:pPr>
        <w:pStyle w:val="unindentedunitbody"/>
        <w:rPr/>
      </w:pPr>
      <w:r>
        <w:rPr/>
        <w:t xml:space="preserve">Optional element.</w:t>
      </w:r>
    </w:p>
    <w:p>
      <w:pPr>
        <w:pStyle w:val="unithead"/>
        <w:outlineLvl w:val="4"/>
        <w:rPr/>
      </w:pPr>
      <w:r>
        <w:rPr/>
        <w:t xml:space="preserve">Section 13.4</w:t>
      </w:r>
    </w:p>
    <w:p>
      <w:pPr>
        <w:pStyle w:val="unindentedunitbody"/>
        <w:rPr/>
      </w:pPr>
      <w:r>
        <w:rPr/>
        <w:t xml:space="preserve">Optional element.</w:t>
      </w:r>
    </w:p>
    <w:p>
      <w:pPr>
        <w:pStyle w:val="sectionhead"/>
        <w:outlineLvl w:val="3"/>
        <w:rPr/>
      </w:pPr>
      <w:r>
        <w:rPr/>
        <w:t xml:space="preserve">Section 14: Data protection officer</w:t>
      </w:r>
    </w:p>
    <w:p>
      <w:pPr>
        <w:pStyle w:val="unindentedunitbody"/>
        <w:rPr/>
      </w:pPr>
      <w:r>
        <w:rPr/>
        <w:t xml:space="preserve">Optional element.</w:t>
      </w:r>
    </w:p>
    <w:p>
      <w:pPr>
        <w:pStyle w:val="unithead"/>
        <w:outlineLvl w:val="4"/>
        <w:rPr/>
      </w:pPr>
      <w:r>
        <w:rPr/>
        <w:t xml:space="preserve">Section 14.1</w:t>
      </w:r>
    </w:p>
    <w:p>
      <w:pPr>
        <w:pStyle w:val="unindentedunitbody"/>
        <w:rPr/>
      </w:pPr>
      <w:r>
        <w:rPr/>
        <w:t xml:space="preserve">Some data controllers and data processors will have an obligation to appoint a data protection officer (DPO). The basic obligation is set out in Article 37(1) of the GDPR:</w:t>
      </w:r>
    </w:p>
    <w:p>
      <w:pPr>
        <w:pStyle w:val="unindentedunitbody"/>
        <w:rPr/>
      </w:pPr>
      <w:r>
        <w:rPr/>
        <w:t xml:space="preserve">"The controller and the processor shall designate a data protection officer in any case where: (a) the processing is carried out by a public authority or body, except for courts acting in their judicial capacity; (b) the core activities of the controller or the processor consist of processing operations which, by virtue of their nature, their scope and/or their purposes, require regular and systematic monitoring of data subjects on a large scale; or (c) the core activities of the controller or the processor consist of processing on a large scale of special categories of data pursuant to Article 9 and personal data relating to criminal convictions and offences referred to in Article 10."</w:t>
      </w:r>
    </w:p>
    <w:p>
      <w:pPr>
        <w:pStyle w:val="unindentedunitbody"/>
        <w:rPr/>
      </w:pPr>
      <w:r>
        <w:rPr/>
        <w:t xml:space="preserve">Article 13(1) of the GDPR provides that:</w:t>
      </w:r>
    </w:p>
    <w:p>
      <w:pPr>
        <w:pStyle w:val="unindentedunitbody"/>
        <w:rPr/>
      </w:pPr>
      <w:r>
        <w:rPr/>
        <w:t xml:space="preserve">"Where personal data relating to a data subject are collected from the data subject, the controller shall, at the time when personal data are obtained, provide the data subject with all of the following information ... (b) the contact details of the data protection officer, where applicable".</w:t>
      </w:r>
    </w:p>
    <w:p>
      <w:pPr>
        <w:pStyle w:val="unindentedunitbody"/>
        <w:rPr/>
      </w:pPr>
      <w:r>
        <w:rPr/>
        <w:t xml:space="preserve">See also Article 14(1)(b).</w:t>
      </w:r>
    </w:p>
    <w:p>
      <w:pPr>
        <w:pStyle w:val="ListParagraphPHPDOCX"/>
        <w:numPr>
          <w:ilvl w:val="0"/>
          <w:numId w:val="1"/>
        </w:numPr>
      </w:pPr>
      <w:r>
        <w:rPr>
          <w:rFonts w:ascii="Verdana" w:hAnsi="Verdana" w:cs="Verdana"/>
          <w:i w:val="on"/>
          <w:iCs w:val="on"/>
          <w:color w:val="000000"/>
          <w:sz w:val="20"/>
          <w:szCs w:val="20"/>
        </w:rPr>
        <w:t xml:space="preserve">Article 37, Regulation (EU) 2016/679 (General Data Protection Regulation) - https://gdpr-info.eu/art-37-gdpr</w:t>
      </w:r>
    </w:p>
    <w:p>
      <w:pPr>
        <w:pStyle w:val="ListParagraphPHPDOCX"/>
        <w:numPr>
          <w:ilvl w:val="0"/>
          <w:numId w:val="1"/>
        </w:numPr>
      </w:pPr>
      <w:r>
        <w:rPr>
          <w:rFonts w:ascii="Verdana" w:hAnsi="Verdana" w:cs="Verdana"/>
          <w:i w:val="on"/>
          <w:iCs w:val="on"/>
          <w:color w:val="000000"/>
          <w:sz w:val="20"/>
          <w:szCs w:val="20"/>
        </w:rPr>
        <w:t xml:space="preserve">Article 13, Regulation (EU) 2016/679 (General Data Protection Regulation) - https://gdpr-info.eu/art-13-gdpr/</w:t>
      </w:r>
    </w:p>
    <w:p>
      <w:pPr>
        <w:pStyle w:val="ListParagraphPHPDOCX"/>
        <w:numPr>
          <w:ilvl w:val="0"/>
          <w:numId w:val="1"/>
        </w:numPr>
      </w:pPr>
      <w:r>
        <w:rPr>
          <w:rFonts w:ascii="Verdana" w:hAnsi="Verdana" w:cs="Verdana"/>
          <w:i w:val="on"/>
          <w:iCs w:val="on"/>
          <w:color w:val="000000"/>
          <w:sz w:val="20"/>
          <w:szCs w:val="20"/>
        </w:rPr>
        <w:t xml:space="preserve">Article 14, Regulation (EU) 2016/679 (General Data Protection Regulation) - https://gdpr-info.eu/art-14-gdpr/</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8603487">
    <w:multiLevelType w:val="hybridMultilevel"/>
    <w:lvl w:ilvl="0" w:tplc="80217740">
      <w:start w:val="1"/>
      <w:numFmt w:val="decimal"/>
      <w:lvlText w:val="%1."/>
      <w:lvlJc w:val="left"/>
      <w:pPr>
        <w:ind w:left="720" w:hanging="360"/>
      </w:pPr>
    </w:lvl>
    <w:lvl w:ilvl="1" w:tplc="80217740" w:tentative="1">
      <w:start w:val="1"/>
      <w:numFmt w:val="lowerLetter"/>
      <w:lvlText w:val="%2."/>
      <w:lvlJc w:val="left"/>
      <w:pPr>
        <w:ind w:left="1440" w:hanging="360"/>
      </w:pPr>
    </w:lvl>
    <w:lvl w:ilvl="2" w:tplc="80217740" w:tentative="1">
      <w:start w:val="1"/>
      <w:numFmt w:val="lowerRoman"/>
      <w:lvlText w:val="%3."/>
      <w:lvlJc w:val="right"/>
      <w:pPr>
        <w:ind w:left="2160" w:hanging="180"/>
      </w:pPr>
    </w:lvl>
    <w:lvl w:ilvl="3" w:tplc="80217740" w:tentative="1">
      <w:start w:val="1"/>
      <w:numFmt w:val="decimal"/>
      <w:lvlText w:val="%4."/>
      <w:lvlJc w:val="left"/>
      <w:pPr>
        <w:ind w:left="2880" w:hanging="360"/>
      </w:pPr>
    </w:lvl>
    <w:lvl w:ilvl="4" w:tplc="80217740" w:tentative="1">
      <w:start w:val="1"/>
      <w:numFmt w:val="lowerLetter"/>
      <w:lvlText w:val="%5."/>
      <w:lvlJc w:val="left"/>
      <w:pPr>
        <w:ind w:left="3600" w:hanging="360"/>
      </w:pPr>
    </w:lvl>
    <w:lvl w:ilvl="5" w:tplc="80217740" w:tentative="1">
      <w:start w:val="1"/>
      <w:numFmt w:val="lowerRoman"/>
      <w:lvlText w:val="%6."/>
      <w:lvlJc w:val="right"/>
      <w:pPr>
        <w:ind w:left="4320" w:hanging="180"/>
      </w:pPr>
    </w:lvl>
    <w:lvl w:ilvl="6" w:tplc="80217740" w:tentative="1">
      <w:start w:val="1"/>
      <w:numFmt w:val="decimal"/>
      <w:lvlText w:val="%7."/>
      <w:lvlJc w:val="left"/>
      <w:pPr>
        <w:ind w:left="5040" w:hanging="360"/>
      </w:pPr>
    </w:lvl>
    <w:lvl w:ilvl="7" w:tplc="80217740" w:tentative="1">
      <w:start w:val="1"/>
      <w:numFmt w:val="lowerLetter"/>
      <w:lvlText w:val="%8."/>
      <w:lvlJc w:val="left"/>
      <w:pPr>
        <w:ind w:left="5760" w:hanging="360"/>
      </w:pPr>
    </w:lvl>
    <w:lvl w:ilvl="8" w:tplc="80217740" w:tentative="1">
      <w:start w:val="1"/>
      <w:numFmt w:val="lowerRoman"/>
      <w:lvlText w:val="%9."/>
      <w:lvlJc w:val="right"/>
      <w:pPr>
        <w:ind w:left="6480" w:hanging="180"/>
      </w:pPr>
    </w:lvl>
  </w:abstractNum>
  <w:abstractNum w:abstractNumId="48603486">
    <w:multiLevelType w:val="hybridMultilevel"/>
    <w:lvl w:ilvl="0" w:tplc="409616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48603486">
    <w:abstractNumId w:val="48603486"/>
  </w:num>
  <w:num w:numId="48603487">
    <w:abstractNumId w:val="486034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417484557"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