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2828"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ListParagraphPHPDOCX"/>
        <w:numPr>
          <w:ilvl w:val="0"/>
          <w:numId w:val="1"/>
        </w:numPr>
      </w:pPr>
      <w:r>
        <w:rPr>
          <w:rFonts w:ascii="Verdana" w:hAnsi="Verdana" w:cs="Verdana"/>
          <w:i w:val="on"/>
          <w:iCs w:val="on"/>
          <w:color w:val="000000"/>
          <w:sz w:val="20"/>
          <w:szCs w:val="20"/>
        </w:rPr>
        <w:t xml:space="preserve">Regulation (EU) 2016/679 (General Data Protection Regulation) - https://eur-lex.europa.eu/legal-content/EN/TXT/?uri=CELEX%3A32016R0679</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The right to be informed, Guide to the GDPR, UK Information Commissioner's Office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ListParagraphPHPDOCX"/>
        <w:numPr>
          <w:ilvl w:val="0"/>
          <w:numId w:val="1"/>
        </w:numPr>
      </w:pPr>
      <w:r>
        <w:rPr>
          <w:rFonts w:ascii="Verdana" w:hAnsi="Verdana" w:cs="Verdana"/>
          <w:i w:val="on"/>
          <w:iCs w:val="on"/>
          <w:color w:val="000000"/>
          <w:sz w:val="20"/>
          <w:szCs w:val="20"/>
        </w:rPr>
        <w:t xml:space="preserve">Cookies and similar technologies, Guide to PECR, UK Information Commissioner's Office - 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Article 6, Regulation (EU) 2016/679 (General Data Protection Regulation) - https://gdpr-info.eu/art-6-gdpr/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ListParagraphPHPDOCX"/>
        <w:numPr>
          <w:ilvl w:val="0"/>
          <w:numId w:val="1"/>
        </w:numPr>
      </w:pPr>
      <w:r>
        <w:rPr>
          <w:rFonts w:ascii="Verdana" w:hAnsi="Verdana" w:cs="Verdana"/>
          <w:i w:val="on"/>
          <w:iCs w:val="on"/>
          <w:color w:val="000000"/>
          <w:sz w:val="20"/>
          <w:szCs w:val="20"/>
        </w:rPr>
        <w:t xml:space="preserve">Article 5, Regulation (EU) 2016/679 (General Data Protection Regulation) - https://gdpr-info.eu/art-5-gdpr/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6.3</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on the legislation.gov.uk website.</w:t>
      </w:r>
    </w:p>
    <w:p>
      <w:pPr>
        <w:pStyle w:val="ListParagraphPHPDOCX"/>
        <w:numPr>
          <w:ilvl w:val="0"/>
          <w:numId w:val="1"/>
        </w:numPr>
      </w:pPr>
      <w:r>
        <w:rPr>
          <w:rFonts w:ascii="Verdana" w:hAnsi="Verdana" w:cs="Verdana"/>
          <w:i w:val="on"/>
          <w:iCs w:val="on"/>
          <w:color w:val="000000"/>
          <w:sz w:val="20"/>
          <w:szCs w:val="20"/>
        </w:rPr>
        <w:t xml:space="preserve">Directive 2002/58/EC (Directive on privacy and electronic communications) - https://eur-lex.europa.eu/legal-content/EN/TXT/HTML/?uri=CELEX:32002L0058&amp;from=EN</w:t>
      </w:r>
    </w:p>
    <w:p>
      <w:pPr>
        <w:pStyle w:val="ListParagraphPHPDOCX"/>
        <w:numPr>
          <w:ilvl w:val="0"/>
          <w:numId w:val="1"/>
        </w:numPr>
      </w:pPr>
      <w:r>
        <w:rPr>
          <w:rFonts w:ascii="Verdana" w:hAnsi="Verdana" w:cs="Verdana"/>
          <w:i w:val="on"/>
          <w:iCs w:val="on"/>
          <w:color w:val="000000"/>
          <w:sz w:val="20"/>
          <w:szCs w:val="20"/>
        </w:rPr>
        <w:t xml:space="preserve">Privacy and Electronic Communications (EC Directive) Regulations 2003 (original form) - 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 xml:space="preserve">All websites covered by the Electronic Commerce (EC Directive) Regulations 2002 must provide a geographic address (not a PO Box number) and an email address.</w:t>
      </w:r>
    </w:p>
    <w:p>
      <w:pPr>
        <w:pStyle w:val="unindentedunitbody"/>
        <w:rPr/>
      </w:pPr>
      <w:r>
        <w:rPr/>
        <w:t xml:space="preserve">All website operators covered by the Provision of Services Regulations 2009 must also provide a telephone number.</w:t>
      </w:r>
    </w:p>
    <w:p>
      <w:pPr>
        <w:pStyle w:val="ListParagraphPHPDOCX"/>
        <w:numPr>
          <w:ilvl w:val="0"/>
          <w:numId w:val="1"/>
        </w:numPr>
      </w:pPr>
      <w:r>
        <w:rPr>
          <w:rFonts w:ascii="Verdana" w:hAnsi="Verdana" w:cs="Verdana"/>
          <w:i w:val="on"/>
          <w:iCs w:val="on"/>
          <w:color w:val="000000"/>
          <w:sz w:val="20"/>
          <w:szCs w:val="20"/>
        </w:rPr>
        <w:t xml:space="preserve">The Electronic Commerce (EC Directive) Regulations 2002 (original version) - https://www.legislation.gov.uk/uksi/2002/2013/made</w:t>
      </w:r>
    </w:p>
    <w:p>
      <w:pPr>
        <w:pStyle w:val="ListParagraphPHPDOCX"/>
        <w:numPr>
          <w:ilvl w:val="0"/>
          <w:numId w:val="1"/>
        </w:numPr>
      </w:pPr>
      <w:r>
        <w:rPr>
          <w:rFonts w:ascii="Verdana" w:hAnsi="Verdana" w:cs="Verdana"/>
          <w:i w:val="on"/>
          <w:iCs w:val="on"/>
          <w:color w:val="000000"/>
          <w:sz w:val="20"/>
          <w:szCs w:val="20"/>
        </w:rPr>
        <w:t xml:space="preserve">The Provision of Services Regulations 2009 - https://www.legislation.gov.uk/uksi/2009/2999</w:t>
      </w:r>
    </w:p>
    <w:p>
      <w:pPr>
        <w:pStyle w:val="unithead"/>
        <w:outlineLvl w:val="4"/>
        <w:rPr/>
      </w:pPr>
      <w:r>
        <w:rPr/>
        <w:t xml:space="preserve">Section 13.2</w:t>
      </w:r>
    </w:p>
    <w:p>
      <w:pPr>
        <w:pStyle w:val="unindentedunitbody"/>
        <w:rPr/>
      </w:pPr>
      <w:r>
        <w:rPr/>
        <w:t xml:space="preserve">Optional element. Is the relevant person a company?</w:t>
      </w:r>
    </w:p>
    <w:p>
      <w:pPr>
        <w:pStyle w:val="unithead"/>
        <w:outlineLvl w:val="4"/>
        <w:rPr/>
      </w:pPr>
      <w:r>
        <w:rPr/>
        <w:t xml:space="preserve">Section 13.3</w:t>
      </w:r>
    </w:p>
    <w:p>
      <w:pPr>
        <w:pStyle w:val="unindentedunitbody"/>
        <w:rPr/>
      </w:pPr>
      <w:r>
        <w:rPr/>
        <w:t xml:space="preserve">Optional element.</w:t>
      </w:r>
    </w:p>
    <w:p>
      <w:pPr>
        <w:pStyle w:val="unithead"/>
        <w:outlineLvl w:val="4"/>
        <w:rPr/>
      </w:pPr>
      <w:r>
        <w:rPr/>
        <w:t xml:space="preserve">Section 13.4</w:t>
      </w:r>
    </w:p>
    <w:p>
      <w:pPr>
        <w:pStyle w:val="unindentedunitbody"/>
        <w:rPr/>
      </w:pPr>
      <w:r>
        <w:rPr/>
        <w:t xml:space="preserve">Optional element.</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i w:val="on"/>
          <w:iCs w:val="on"/>
          <w:color w:val="000000"/>
          <w:sz w:val="20"/>
          <w:szCs w:val="20"/>
        </w:rPr>
        <w:t xml:space="preserve">Article 37, Regulation (EU) 2016/679 (General Data Protection Regulation) - https://gdpr-info.eu/art-37-gdpr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5603397">
    <w:multiLevelType w:val="hybridMultilevel"/>
    <w:lvl w:ilvl="0" w:tplc="10959834">
      <w:start w:val="1"/>
      <w:numFmt w:val="decimal"/>
      <w:lvlText w:val="%1."/>
      <w:lvlJc w:val="left"/>
      <w:pPr>
        <w:ind w:left="720" w:hanging="360"/>
      </w:pPr>
    </w:lvl>
    <w:lvl w:ilvl="1" w:tplc="10959834" w:tentative="1">
      <w:start w:val="1"/>
      <w:numFmt w:val="lowerLetter"/>
      <w:lvlText w:val="%2."/>
      <w:lvlJc w:val="left"/>
      <w:pPr>
        <w:ind w:left="1440" w:hanging="360"/>
      </w:pPr>
    </w:lvl>
    <w:lvl w:ilvl="2" w:tplc="10959834" w:tentative="1">
      <w:start w:val="1"/>
      <w:numFmt w:val="lowerRoman"/>
      <w:lvlText w:val="%3."/>
      <w:lvlJc w:val="right"/>
      <w:pPr>
        <w:ind w:left="2160" w:hanging="180"/>
      </w:pPr>
    </w:lvl>
    <w:lvl w:ilvl="3" w:tplc="10959834" w:tentative="1">
      <w:start w:val="1"/>
      <w:numFmt w:val="decimal"/>
      <w:lvlText w:val="%4."/>
      <w:lvlJc w:val="left"/>
      <w:pPr>
        <w:ind w:left="2880" w:hanging="360"/>
      </w:pPr>
    </w:lvl>
    <w:lvl w:ilvl="4" w:tplc="10959834" w:tentative="1">
      <w:start w:val="1"/>
      <w:numFmt w:val="lowerLetter"/>
      <w:lvlText w:val="%5."/>
      <w:lvlJc w:val="left"/>
      <w:pPr>
        <w:ind w:left="3600" w:hanging="360"/>
      </w:pPr>
    </w:lvl>
    <w:lvl w:ilvl="5" w:tplc="10959834" w:tentative="1">
      <w:start w:val="1"/>
      <w:numFmt w:val="lowerRoman"/>
      <w:lvlText w:val="%6."/>
      <w:lvlJc w:val="right"/>
      <w:pPr>
        <w:ind w:left="4320" w:hanging="180"/>
      </w:pPr>
    </w:lvl>
    <w:lvl w:ilvl="6" w:tplc="10959834" w:tentative="1">
      <w:start w:val="1"/>
      <w:numFmt w:val="decimal"/>
      <w:lvlText w:val="%7."/>
      <w:lvlJc w:val="left"/>
      <w:pPr>
        <w:ind w:left="5040" w:hanging="360"/>
      </w:pPr>
    </w:lvl>
    <w:lvl w:ilvl="7" w:tplc="10959834" w:tentative="1">
      <w:start w:val="1"/>
      <w:numFmt w:val="lowerLetter"/>
      <w:lvlText w:val="%8."/>
      <w:lvlJc w:val="left"/>
      <w:pPr>
        <w:ind w:left="5760" w:hanging="360"/>
      </w:pPr>
    </w:lvl>
    <w:lvl w:ilvl="8" w:tplc="10959834" w:tentative="1">
      <w:start w:val="1"/>
      <w:numFmt w:val="lowerRoman"/>
      <w:lvlText w:val="%9."/>
      <w:lvlJc w:val="right"/>
      <w:pPr>
        <w:ind w:left="6480" w:hanging="180"/>
      </w:pPr>
    </w:lvl>
  </w:abstractNum>
  <w:abstractNum w:abstractNumId="35603396">
    <w:multiLevelType w:val="hybridMultilevel"/>
    <w:lvl w:ilvl="0" w:tplc="701509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35603396">
    <w:abstractNumId w:val="35603396"/>
  </w:num>
  <w:num w:numId="35603397">
    <w:abstractNumId w:val="356033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539614078"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